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227D1C">
      <w:pPr>
        <w:keepNext w:val="0"/>
        <w:keepLines w:val="0"/>
        <w:pageBreakBefore w:val="0"/>
        <w:widowControl w:val="0"/>
        <w:kinsoku/>
        <w:wordWrap/>
        <w:overflowPunct/>
        <w:topLinePunct w:val="0"/>
        <w:bidi w:val="0"/>
        <w:spacing w:line="580" w:lineRule="exact"/>
        <w:jc w:val="both"/>
        <w:rPr>
          <w:rFonts w:hint="eastAsia" w:ascii="方正黑体_GBK" w:hAnsi="方正黑体_GBK" w:eastAsia="方正黑体_GBK" w:cs="方正黑体_GBK"/>
          <w:b w:val="0"/>
          <w:bCs w:val="0"/>
          <w:color w:val="000000" w:themeColor="text1"/>
          <w:spacing w:val="0"/>
          <w:position w:val="0"/>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pacing w:val="0"/>
          <w:position w:val="0"/>
          <w:sz w:val="32"/>
          <w:szCs w:val="32"/>
          <w:lang w:eastAsia="zh-CN"/>
          <w14:textFill>
            <w14:solidFill>
              <w14:schemeClr w14:val="tx1"/>
            </w14:solidFill>
          </w14:textFill>
        </w:rPr>
        <w:t>附件</w:t>
      </w:r>
      <w:r>
        <w:rPr>
          <w:rFonts w:hint="eastAsia" w:ascii="方正黑体_GBK" w:hAnsi="方正黑体_GBK" w:eastAsia="方正黑体_GBK" w:cs="方正黑体_GBK"/>
          <w:b w:val="0"/>
          <w:bCs w:val="0"/>
          <w:color w:val="000000" w:themeColor="text1"/>
          <w:spacing w:val="0"/>
          <w:position w:val="0"/>
          <w:sz w:val="32"/>
          <w:szCs w:val="32"/>
          <w:lang w:val="en-US" w:eastAsia="zh-CN"/>
          <w14:textFill>
            <w14:solidFill>
              <w14:schemeClr w14:val="tx1"/>
            </w14:solidFill>
          </w14:textFill>
        </w:rPr>
        <w:t xml:space="preserve"> </w:t>
      </w:r>
    </w:p>
    <w:p w14:paraId="0E70817E">
      <w:pPr>
        <w:pStyle w:val="3"/>
        <w:rPr>
          <w:rFonts w:hint="eastAsia"/>
          <w:lang w:val="en-US" w:eastAsia="zh-CN"/>
        </w:rPr>
      </w:pPr>
    </w:p>
    <w:p w14:paraId="07B0E2B3">
      <w:pPr>
        <w:keepNext w:val="0"/>
        <w:keepLines w:val="0"/>
        <w:pageBreakBefore w:val="0"/>
        <w:widowControl w:val="0"/>
        <w:kinsoku/>
        <w:wordWrap/>
        <w:overflowPunct/>
        <w:topLinePunct w:val="0"/>
        <w:bidi w:val="0"/>
        <w:spacing w:line="580" w:lineRule="exact"/>
        <w:jc w:val="center"/>
        <w:rPr>
          <w:rFonts w:hint="eastAsia" w:ascii="方正小标宋简体" w:hAnsi="方正小标宋简体" w:eastAsia="方正小标宋简体" w:cs="方正小标宋简体"/>
          <w:b w:val="0"/>
          <w:bCs w:val="0"/>
          <w:color w:val="000000" w:themeColor="text1"/>
          <w:spacing w:val="0"/>
          <w:position w:val="0"/>
          <w:sz w:val="44"/>
          <w:szCs w:val="44"/>
          <w:lang w:eastAsia="zh-CN"/>
          <w14:textFill>
            <w14:solidFill>
              <w14:schemeClr w14:val="tx1"/>
            </w14:solidFill>
          </w14:textFill>
        </w:rPr>
      </w:pPr>
      <w:bookmarkStart w:id="0" w:name="_GoBack"/>
      <w:r>
        <w:rPr>
          <w:rFonts w:hint="eastAsia" w:ascii="方正小标宋简体" w:hAnsi="方正小标宋简体" w:eastAsia="方正小标宋简体" w:cs="方正小标宋简体"/>
          <w:b w:val="0"/>
          <w:bCs w:val="0"/>
          <w:color w:val="000000" w:themeColor="text1"/>
          <w:spacing w:val="0"/>
          <w:position w:val="0"/>
          <w:sz w:val="44"/>
          <w:szCs w:val="44"/>
          <w:lang w:eastAsia="zh-CN"/>
          <w14:textFill>
            <w14:solidFill>
              <w14:schemeClr w14:val="tx1"/>
            </w14:solidFill>
          </w14:textFill>
        </w:rPr>
        <w:t>吉安市重点实验室管理办法</w:t>
      </w:r>
    </w:p>
    <w:p w14:paraId="60207511">
      <w:pPr>
        <w:spacing w:line="60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eastAsia" w:ascii="Times New Roman" w:hAnsi="Times New Roman" w:eastAsia="楷体_GB2312" w:cs="Times New Roman"/>
          <w:sz w:val="32"/>
          <w:szCs w:val="32"/>
          <w:lang w:eastAsia="zh-CN"/>
        </w:rPr>
        <w:t>征求意见稿</w:t>
      </w:r>
      <w:r>
        <w:rPr>
          <w:rFonts w:hint="default" w:ascii="Times New Roman" w:hAnsi="Times New Roman" w:eastAsia="楷体_GB2312" w:cs="Times New Roman"/>
          <w:sz w:val="32"/>
          <w:szCs w:val="32"/>
        </w:rPr>
        <w:t>）</w:t>
      </w:r>
    </w:p>
    <w:bookmarkEnd w:id="0"/>
    <w:p w14:paraId="08C2B910">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p>
    <w:p w14:paraId="156778E0">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第一章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总</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则</w:t>
      </w:r>
    </w:p>
    <w:p w14:paraId="7975CCFA">
      <w:pPr>
        <w:keepNext w:val="0"/>
        <w:keepLines w:val="0"/>
        <w:pageBreakBefore w:val="0"/>
        <w:widowControl w:val="0"/>
        <w:kinsoku/>
        <w:wordWrap/>
        <w:overflowPunct/>
        <w:topLinePunct w:val="0"/>
        <w:bidi w:val="0"/>
        <w:spacing w:line="580" w:lineRule="exact"/>
        <w:ind w:right="48" w:firstLine="717"/>
        <w:jc w:val="both"/>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第一条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t>为进一步规范和加强吉安市重点实验室（以下简称“市重点实验室”）建设和运行管理，提升市科技创新体系建设质效，进一步推进科技创新与产业创新深度融合，依据《吉安市科技计划管理办法》（吉府办发〔2021〕13号），参照国家和省里有关规定，结合本市实际，制定本办法。</w:t>
      </w:r>
    </w:p>
    <w:p w14:paraId="169CD4C9">
      <w:pPr>
        <w:keepNext w:val="0"/>
        <w:keepLines w:val="0"/>
        <w:pageBreakBefore w:val="0"/>
        <w:widowControl w:val="0"/>
        <w:kinsoku/>
        <w:wordWrap/>
        <w:overflowPunct/>
        <w:topLinePunct w:val="0"/>
        <w:bidi w:val="0"/>
        <w:spacing w:line="580" w:lineRule="exact"/>
        <w:ind w:left="69" w:firstLine="648"/>
        <w:jc w:val="both"/>
        <w:rPr>
          <w:rFonts w:ascii="仿宋" w:hAnsi="仿宋" w:eastAsia="仿宋" w:cs="仿宋"/>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黑体" w:hAnsi="黑体" w:eastAsia="黑体" w:cs="黑体"/>
          <w:color w:val="000000" w:themeColor="text1"/>
          <w:spacing w:val="0"/>
          <w:position w:val="0"/>
          <w:sz w:val="32"/>
          <w:szCs w:val="32"/>
          <w:lang w:eastAsia="zh-CN"/>
          <w14:textFill>
            <w14:solidFill>
              <w14:schemeClr w14:val="tx1"/>
            </w14:solidFill>
          </w14:textFill>
        </w:rPr>
        <w:t xml:space="preserve"> </w:t>
      </w:r>
      <w:r>
        <w:rPr>
          <w:rFonts w:hint="eastAsia" w:ascii="仿宋_GB2312" w:hAnsi="Arial" w:eastAsia="仿宋_GB2312" w:cs="仿宋_GB2312"/>
          <w:color w:val="000000" w:themeColor="text1"/>
          <w:spacing w:val="0"/>
          <w:position w:val="0"/>
          <w:sz w:val="32"/>
          <w:szCs w:val="32"/>
          <w:lang w:eastAsia="zh-CN"/>
          <w14:textFill>
            <w14:solidFill>
              <w14:schemeClr w14:val="tx1"/>
            </w14:solidFill>
          </w14:textFill>
        </w:rPr>
        <w:t>市重点实验室是吉安市科技创新体系的重要组成部分，是组织高水平基础研究和应用基础研究，聚集、培养优</w:t>
      </w:r>
      <w:r>
        <w:rPr>
          <w:rFonts w:hint="eastAsia" w:ascii="仿宋_GB2312" w:hAnsi="Arial" w:eastAsia="仿宋_GB2312" w:cs="仿宋_GB2312"/>
          <w:color w:val="000000" w:themeColor="text1"/>
          <w:spacing w:val="-11"/>
          <w:position w:val="0"/>
          <w:sz w:val="32"/>
          <w:szCs w:val="32"/>
          <w:lang w:eastAsia="zh-CN"/>
          <w14:textFill>
            <w14:solidFill>
              <w14:schemeClr w14:val="tx1"/>
            </w14:solidFill>
          </w14:textFill>
        </w:rPr>
        <w:t>秀科技人才，开展高水平学术交流的重要基地。其主要任务是根据国家、省、市科技发展战略，针对学科发</w:t>
      </w:r>
      <w:r>
        <w:rPr>
          <w:rFonts w:hint="eastAsia" w:ascii="仿宋_GB2312" w:eastAsia="仿宋_GB2312" w:cs="仿宋_GB2312"/>
          <w:color w:val="000000" w:themeColor="text1"/>
          <w:spacing w:val="-11"/>
          <w:position w:val="0"/>
          <w:sz w:val="32"/>
          <w:szCs w:val="32"/>
          <w:lang w:eastAsia="zh-CN"/>
          <w14:textFill>
            <w14:solidFill>
              <w14:schemeClr w14:val="tx1"/>
            </w14:solidFill>
          </w14:textFill>
        </w:rPr>
        <w:t>展前沿和吉安市国民经济与社会发展中的重要科技领域和方向，开展创新性研究，创造原始创新性成果和自主知识产权，为解决吉安市经济</w:t>
      </w:r>
      <w:r>
        <w:rPr>
          <w:rFonts w:hint="eastAsia" w:ascii="仿宋_GB2312" w:eastAsia="仿宋_GB2312" w:cs="仿宋_GB2312"/>
          <w:color w:val="000000" w:themeColor="text1"/>
          <w:spacing w:val="0"/>
          <w:position w:val="0"/>
          <w:sz w:val="32"/>
          <w:szCs w:val="32"/>
          <w:lang w:eastAsia="zh-CN"/>
          <w14:textFill>
            <w14:solidFill>
              <w14:schemeClr w14:val="tx1"/>
            </w14:solidFill>
          </w14:textFill>
        </w:rPr>
        <w:t>和社会发展的关键问题提供战略性、基础性、前瞻性科技支撑</w:t>
      </w:r>
      <w:r>
        <w:rPr>
          <w:rFonts w:ascii="仿宋" w:hAnsi="仿宋" w:eastAsia="仿宋" w:cs="仿宋"/>
          <w:color w:val="000000" w:themeColor="text1"/>
          <w:spacing w:val="0"/>
          <w:position w:val="0"/>
          <w:sz w:val="32"/>
          <w:szCs w:val="32"/>
          <w:lang w:eastAsia="zh-CN"/>
          <w14:textFill>
            <w14:solidFill>
              <w14:schemeClr w14:val="tx1"/>
            </w14:solidFill>
          </w14:textFill>
        </w:rPr>
        <w:t>。</w:t>
      </w:r>
    </w:p>
    <w:p w14:paraId="003B6ABE">
      <w:pPr>
        <w:keepNext w:val="0"/>
        <w:keepLines w:val="0"/>
        <w:pageBreakBefore w:val="0"/>
        <w:widowControl w:val="0"/>
        <w:kinsoku/>
        <w:wordWrap/>
        <w:overflowPunct/>
        <w:topLinePunct w:val="0"/>
        <w:bidi w:val="0"/>
        <w:spacing w:line="580" w:lineRule="exact"/>
        <w:ind w:left="73" w:right="129" w:firstLine="644"/>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第三条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是依托有较强科研实力的高等院校、科研院所和企业建设的科研实体，实行人、财、物相对独立的管理机制，坚持多方投入、定期评估、择优支持、动态调整的管理模式和“开放、流动、联合、竞争”的运行机制。</w:t>
      </w:r>
    </w:p>
    <w:p w14:paraId="61AFE20E">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职</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责</w:t>
      </w:r>
    </w:p>
    <w:p w14:paraId="08E23342">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第四条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市科学技术局是市重点实验室的宏观管理部门，主要职责是：</w:t>
      </w:r>
    </w:p>
    <w:p w14:paraId="288F2882">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（一）贯彻落实国家、江西省和本市关于重点实验室建设与发展的方针政策。</w:t>
      </w:r>
    </w:p>
    <w:p w14:paraId="6CDC1FF9">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（二）负责市重点实验室建设顶层设计和体系布局。</w:t>
      </w:r>
    </w:p>
    <w:p w14:paraId="1D3D4CEB">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（三）制定市重点实验室管理办法及相关规章制度，会同相关部门和单位制定配套政策措施。</w:t>
      </w:r>
    </w:p>
    <w:p w14:paraId="191791AC">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（四）负责市重点实验室的立项、调整、撤销、监督、考核评估等工作。</w:t>
      </w:r>
    </w:p>
    <w:p w14:paraId="138E7D3D">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第五条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直有关部门，各县（市、区）科技部门、井开区科技主管部门和经市科技局批准的其他单位等是市重点实验室的行政主管部门（以下简称“主管部门”），共建的市重点实验室涉及主管部门有两家及以上的，由各主管部门分别履行管理职责，主要是：</w:t>
      </w:r>
    </w:p>
    <w:p w14:paraId="05434B66">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（一）贯彻国家、江西省及本市有关重点实验室建设管理的方针和政策，支持市重点实验室的建设和发展。</w:t>
      </w:r>
    </w:p>
    <w:p w14:paraId="6E54C659">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（二）负责审核推荐市重点实验室的申报，组织实施市重点实验室建设。</w:t>
      </w:r>
    </w:p>
    <w:p w14:paraId="6EBCF5DB">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（三）监督检查市重点实验室组建及运行情况，鼓励主管部门为本部门、本地区市重点实验室的建设和运行提供配套经费和必要的保障条件。</w:t>
      </w:r>
    </w:p>
    <w:p w14:paraId="002A97A4">
      <w:pPr>
        <w:keepNext w:val="0"/>
        <w:keepLines w:val="0"/>
        <w:pageBreakBefore w:val="0"/>
        <w:widowControl w:val="0"/>
        <w:kinsoku/>
        <w:wordWrap/>
        <w:overflowPunct/>
        <w:topLinePunct w:val="0"/>
        <w:bidi w:val="0"/>
        <w:spacing w:line="580" w:lineRule="exact"/>
        <w:ind w:left="13" w:right="85"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第六条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依托单位是市重点实验室建设和运行管理的具体责任单位，主要职责是：</w:t>
      </w:r>
    </w:p>
    <w:p w14:paraId="0C96CD5A">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（一）负责市重点实验室的建设实施和运行管理，协助实验室建立健全管理制度和运行机制，做好涉及保密要求的有关工作，落实市重点实验室安全管理主体责任，定期组织开展市重点实验室安全检查。</w:t>
      </w:r>
    </w:p>
    <w:p w14:paraId="2BAE7813">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（二）负责聘任市重点实验室主任、副主任及学术委员会主任、副主任及委员。</w:t>
      </w:r>
    </w:p>
    <w:p w14:paraId="27810EA5">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（三）落实相应的条件保障以及经费等配套支持，解决市重点实验室建设与运行中的有关问题。</w:t>
      </w:r>
    </w:p>
    <w:p w14:paraId="4CA6DC40">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（四）配合市科技局和主管部门做好市重点实验室的考核评估和检查工作。</w:t>
      </w:r>
    </w:p>
    <w:p w14:paraId="0B40A262">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（五）支持市重点实验室开展广泛的交流合作，推动重点实验室资源开放共享。</w:t>
      </w:r>
    </w:p>
    <w:p w14:paraId="0520EC36">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第三章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建</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设</w:t>
      </w:r>
    </w:p>
    <w:p w14:paraId="03230A3D">
      <w:pPr>
        <w:keepNext w:val="0"/>
        <w:keepLines w:val="0"/>
        <w:pageBreakBefore w:val="0"/>
        <w:widowControl w:val="0"/>
        <w:kinsoku/>
        <w:wordWrap/>
        <w:overflowPunct/>
        <w:topLinePunct w:val="0"/>
        <w:bidi w:val="0"/>
        <w:spacing w:line="580" w:lineRule="exact"/>
        <w:ind w:left="14" w:right="80" w:firstLine="640"/>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第七条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市科技局围绕本市“</w:t>
      </w:r>
      <w:r>
        <w:rPr>
          <w:rFonts w:hint="eastAsia" w:ascii="仿宋_GB2312" w:hAnsi="仿宋_GB2312" w:eastAsia="仿宋_GB2312" w:cs="仿宋_GB2312"/>
          <w:color w:val="000000" w:themeColor="text1"/>
          <w:spacing w:val="0"/>
          <w:position w:val="0"/>
          <w:sz w:val="32"/>
          <w:szCs w:val="32"/>
          <w:lang w:val="en-US" w:eastAsia="zh-CN"/>
          <w14:textFill>
            <w14:solidFill>
              <w14:schemeClr w14:val="tx1"/>
            </w14:solidFill>
          </w14:textFill>
        </w:rPr>
        <w:t>1+5</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lang w:val="en-US" w:eastAsia="zh-CN"/>
          <w14:textFill>
            <w14:solidFill>
              <w14:schemeClr w14:val="tx1"/>
            </w14:solidFill>
          </w14:textFill>
        </w:rPr>
        <w:t>主导产业和重点产业链发展</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需要，系统设计、总体布局市重点实验室建设方向。坚持质量优先，实行动态优化，保持适度规模，构建定位明确、目标清晰、布局合理的市重点实验室体系。市重点实验室总量控制在</w:t>
      </w:r>
      <w:r>
        <w:rPr>
          <w:rFonts w:hint="eastAsia" w:ascii="仿宋_GB2312" w:hAnsi="仿宋_GB2312" w:eastAsia="仿宋_GB2312" w:cs="仿宋_GB2312"/>
          <w:color w:val="000000" w:themeColor="text1"/>
          <w:spacing w:val="0"/>
          <w:position w:val="0"/>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家左右。</w:t>
      </w:r>
    </w:p>
    <w:p w14:paraId="6E33683D">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第八条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申请组建市重点实验室应具备以下条件：</w:t>
      </w:r>
    </w:p>
    <w:p w14:paraId="086FA7AE">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一）符合市重点实验室建设指南，从事基础研究、应用基础研究或前沿技术研究。研究领域符合江西省和本市科技发展战略，在本学科领域具有明显的科研优势和区域特色，科研成效突出，拥有自主知识产权且处于国内、省内领先水平的科研成果，具备承担省部级、市级重大科研项目和广泛开展国内、省内学术交流与合作的能力以及较好的成果转化能力。</w:t>
      </w:r>
    </w:p>
    <w:p w14:paraId="6BD88095">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（二）市重点实验室主任人选应在本学科领域具有较高的学术造诣，具有较强的组织管理和协调能力，无不良科研诚信记录，年龄原则上不超过</w:t>
      </w:r>
      <w:r>
        <w:rPr>
          <w:rFonts w:hint="eastAsia" w:ascii="仿宋_GB2312" w:hAnsi="仿宋_GB2312" w:eastAsia="仿宋_GB2312" w:cs="仿宋_GB2312"/>
          <w:color w:val="000000" w:themeColor="text1"/>
          <w:spacing w:val="0"/>
          <w:position w:val="0"/>
          <w:sz w:val="32"/>
          <w:szCs w:val="32"/>
          <w:lang w:val="en-US" w:eastAsia="zh-CN"/>
          <w14:textFill>
            <w14:solidFill>
              <w14:schemeClr w14:val="tx1"/>
            </w14:solidFill>
          </w14:textFill>
        </w:rPr>
        <w:t>60</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周岁，如确因工作需要，需放宽年龄限制的须报市科技局研究批准，并由依托单位出具能确保市重点实验室组建可履约实施的承诺函。每个研究方向应有学术水平高、学风严谨、创新能力较强的学术带头人。拥有一支学术思想活跃、科研业绩优秀、团结协作、结构合理的人才队伍，固定人员不少于10人。</w:t>
      </w:r>
    </w:p>
    <w:p w14:paraId="4801CE2A">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三）具备良好的科研条件和基础设施，实验场地相对集中，研发场地面积不少于200平方米；具备开展与市重点实验室主要研究方向相关所必需的仪器设备和设施，且相关仪器设备不得多头统计核定报销，科研仪器设备原值不少于1000万元（医疗卫生领域不少于</w:t>
      </w:r>
      <w:r>
        <w:rPr>
          <w:rFonts w:hint="eastAsia" w:ascii="仿宋_GB2312" w:hAnsi="仿宋_GB2312" w:eastAsia="仿宋_GB2312" w:cs="仿宋_GB2312"/>
          <w:color w:val="000000" w:themeColor="text1"/>
          <w:spacing w:val="0"/>
          <w:position w:val="0"/>
          <w:sz w:val="32"/>
          <w:szCs w:val="32"/>
          <w:lang w:val="en-US" w:eastAsia="zh-CN"/>
          <w14:textFill>
            <w14:solidFill>
              <w14:schemeClr w14:val="tx1"/>
            </w14:solidFill>
          </w14:textFill>
        </w:rPr>
        <w:t>500万元</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w:t>
      </w:r>
    </w:p>
    <w:p w14:paraId="7490BE6A">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（四）依托单位有筹措资金的能力和信誉，能够为研究工作提供必要的条件支持和后勤保障，依托单位承诺每年对市重点实验室提供不低于50万元的专项经费支持。</w:t>
      </w:r>
    </w:p>
    <w:p w14:paraId="5D0470A2">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（五）实验室内部管理制度健全、已形成科学的管理体制和高效、合理的运行机制。</w:t>
      </w:r>
    </w:p>
    <w:p w14:paraId="5EF72901">
      <w:pPr>
        <w:keepNext w:val="0"/>
        <w:keepLines w:val="0"/>
        <w:pageBreakBefore w:val="0"/>
        <w:widowControl w:val="0"/>
        <w:kinsoku/>
        <w:wordWrap/>
        <w:overflowPunct/>
        <w:topLinePunct w:val="0"/>
        <w:bidi w:val="0"/>
        <w:spacing w:line="580" w:lineRule="exact"/>
        <w:ind w:left="649"/>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第九条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组建市重点实验室基本程序：</w:t>
      </w:r>
    </w:p>
    <w:p w14:paraId="2C1B3D0A">
      <w:pPr>
        <w:keepNext w:val="0"/>
        <w:keepLines w:val="0"/>
        <w:pageBreakBefore w:val="0"/>
        <w:widowControl w:val="0"/>
        <w:kinsoku/>
        <w:wordWrap/>
        <w:overflowPunct/>
        <w:topLinePunct w:val="0"/>
        <w:bidi w:val="0"/>
        <w:spacing w:line="580" w:lineRule="exact"/>
        <w:ind w:left="12" w:firstLine="635"/>
        <w:jc w:val="both"/>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组织申报。</w:t>
      </w:r>
      <w:r>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t>市科技局每年上半年发布申报通知，申请</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组建单位根据</w:t>
      </w:r>
      <w:r>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t>通知要求，编制市重点实验室建设方案 （以下简称“建设方案”），明确实验室重点技术领域和研发方向、组建模式、重点任务等。</w:t>
      </w:r>
    </w:p>
    <w:p w14:paraId="5AA99A6C">
      <w:pPr>
        <w:keepNext w:val="0"/>
        <w:keepLines w:val="0"/>
        <w:pageBreakBefore w:val="0"/>
        <w:widowControl w:val="0"/>
        <w:kinsoku/>
        <w:wordWrap/>
        <w:overflowPunct/>
        <w:topLinePunct w:val="0"/>
        <w:bidi w:val="0"/>
        <w:spacing w:line="580" w:lineRule="exact"/>
        <w:ind w:left="12" w:firstLine="635"/>
        <w:jc w:val="both"/>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（二）择优推荐。主管部门经严格审核后，择优向市科技局推荐申报，依托单位有两家及以上且涉及不同主管部门的，需所涉及部门共同盖章。</w:t>
      </w:r>
    </w:p>
    <w:p w14:paraId="47C22898">
      <w:pPr>
        <w:keepNext w:val="0"/>
        <w:keepLines w:val="0"/>
        <w:pageBreakBefore w:val="0"/>
        <w:widowControl w:val="0"/>
        <w:kinsoku/>
        <w:wordWrap/>
        <w:overflowPunct/>
        <w:topLinePunct w:val="0"/>
        <w:bidi w:val="0"/>
        <w:spacing w:line="580" w:lineRule="exact"/>
        <w:ind w:left="12" w:firstLine="635"/>
        <w:jc w:val="both"/>
        <w:rPr>
          <w:rFonts w:hint="default" w:ascii="仿宋_GB2312" w:hAnsi="仿宋_GB2312" w:eastAsia="仿宋_GB2312" w:cs="仿宋_GB2312"/>
          <w:color w:val="000000" w:themeColor="text1"/>
          <w:spacing w:val="-11"/>
          <w:position w:val="0"/>
          <w:sz w:val="32"/>
          <w:szCs w:val="32"/>
          <w:lang w:eastAsia="zh-CN"/>
          <w14:textFill>
            <w14:solidFill>
              <w14:schemeClr w14:val="tx1"/>
            </w14:solidFill>
          </w14:textFill>
        </w:rPr>
      </w:pPr>
      <w:r>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三</w:t>
      </w:r>
      <w:r>
        <w:rPr>
          <w:rFonts w:hint="default" w:ascii="仿宋_GB2312" w:hAnsi="仿宋_GB2312" w:eastAsia="仿宋_GB2312" w:cs="仿宋_GB2312"/>
          <w:color w:val="000000" w:themeColor="text1"/>
          <w:spacing w:val="-11"/>
          <w:position w:val="0"/>
          <w:sz w:val="32"/>
          <w:szCs w:val="32"/>
          <w:lang w:eastAsia="zh-CN"/>
          <w14:textFill>
            <w14:solidFill>
              <w14:schemeClr w14:val="tx1"/>
            </w14:solidFill>
          </w14:textFill>
        </w:rPr>
        <w:t>）评审考察。市科技局组织专家进行评审和现场考察。</w:t>
      </w:r>
    </w:p>
    <w:p w14:paraId="7C361701">
      <w:pPr>
        <w:keepNext w:val="0"/>
        <w:keepLines w:val="0"/>
        <w:pageBreakBefore w:val="0"/>
        <w:widowControl w:val="0"/>
        <w:kinsoku/>
        <w:wordWrap/>
        <w:overflowPunct/>
        <w:topLinePunct w:val="0"/>
        <w:bidi w:val="0"/>
        <w:spacing w:line="580" w:lineRule="exact"/>
        <w:ind w:left="12" w:firstLine="635"/>
        <w:jc w:val="both"/>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四</w:t>
      </w:r>
      <w:r>
        <w:rPr>
          <w:rFonts w:hint="default" w:ascii="仿宋_GB2312" w:hAnsi="仿宋_GB2312" w:eastAsia="仿宋_GB2312" w:cs="仿宋_GB2312"/>
          <w:color w:val="000000" w:themeColor="text1"/>
          <w:spacing w:val="0"/>
          <w:position w:val="0"/>
          <w:sz w:val="32"/>
          <w:szCs w:val="32"/>
          <w:lang w:eastAsia="zh-CN"/>
          <w14:textFill>
            <w14:solidFill>
              <w14:schemeClr w14:val="tx1"/>
            </w14:solidFill>
          </w14:textFill>
        </w:rPr>
        <w:t>）批准组建。根据专家评审和现场考察情况，对拟认定的市重点实验室进行公示，公示无异议的，经集体研究决定后，下达批准组建通知。所在地政府或其主管部门、建设单位应积极发挥支撑保障作用，在政策、资金、土地、基础设施等方面给予支持。</w:t>
      </w:r>
    </w:p>
    <w:p w14:paraId="6FBFD768">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五）签订合同。市科技局与市重点实验室依托单位签订《吉安市重点实验室建设任务书》（以下简称“建设任务书”）。建设任务书是市重点实验室建设并据以考核评估的主要依据，具有行政约束力，不得随意变更。</w:t>
      </w:r>
    </w:p>
    <w:p w14:paraId="78EB35E3">
      <w:pPr>
        <w:keepNext w:val="0"/>
        <w:keepLines w:val="0"/>
        <w:pageBreakBefore w:val="0"/>
        <w:widowControl w:val="0"/>
        <w:kinsoku/>
        <w:wordWrap/>
        <w:overflowPunct/>
        <w:topLinePunct w:val="0"/>
        <w:bidi w:val="0"/>
        <w:spacing w:line="580" w:lineRule="exact"/>
        <w:ind w:left="8" w:right="133" w:firstLine="64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市重点实验室获批建设后挂“XXX吉安市重点实验室”牌子，采取“边组建、边运行”的管理方式，原则上不设立分实验室。</w:t>
      </w:r>
    </w:p>
    <w:p w14:paraId="05084F3B">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第四章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运</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行</w:t>
      </w:r>
    </w:p>
    <w:p w14:paraId="28B69D8E">
      <w:pPr>
        <w:keepNext w:val="0"/>
        <w:keepLines w:val="0"/>
        <w:pageBreakBefore w:val="0"/>
        <w:widowControl w:val="0"/>
        <w:kinsoku/>
        <w:wordWrap/>
        <w:overflowPunct/>
        <w:topLinePunct w:val="0"/>
        <w:bidi w:val="0"/>
        <w:spacing w:line="580" w:lineRule="exact"/>
        <w:ind w:left="18" w:firstLine="636"/>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第十一条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市重点实验室实行依托单位领导下的主任负责制，牵头方实验室负责人担任实验室主任，共建方实验室主要负责人可担任副主任。市重点实验室主任具体负责实验室人、财、物管理。</w:t>
      </w:r>
    </w:p>
    <w:p w14:paraId="47DAA8AE">
      <w:pPr>
        <w:keepNext w:val="0"/>
        <w:keepLines w:val="0"/>
        <w:pageBreakBefore w:val="0"/>
        <w:widowControl w:val="0"/>
        <w:kinsoku/>
        <w:wordWrap/>
        <w:overflowPunct/>
        <w:topLinePunct w:val="0"/>
        <w:bidi w:val="0"/>
        <w:spacing w:line="580" w:lineRule="exact"/>
        <w:ind w:left="13" w:right="132" w:firstLine="642"/>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第十二条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主任由依托单位选聘，报市科技局备案。市重点实验室主任任期为5年，每年在市重点实验室工作时间一般不少于8个月，无法保证在市重点实验室工作时间的柔性引进人才，不得担任市重点实验室主任，特殊情况需报市科技局批准。</w:t>
      </w:r>
    </w:p>
    <w:p w14:paraId="16F44D9A">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第十三条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成立学术委员会，作为市重点实验室的学术指导机构，其职责是审议市重点实验室的目标任务、研究方向、重大学术活动、开放研究课题、人才培养等事项。学术委员会会议原则上每年至少召开1次，每次实到人数不少于三分之二，并形成会议纪要。</w:t>
      </w:r>
    </w:p>
    <w:p w14:paraId="5D8EFEFF">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学术委员会主任由依托单位聘任。学术委员会委员一般由7-11名（单数）省内外优秀专家组成。其中，来自依托单位的学术委员不超过总人数的三分之一，中青年学术委员不少于总人数的三分之一。学术委员会委员每届任期五年，每次换届应更换三分之一以上。</w:t>
      </w:r>
    </w:p>
    <w:p w14:paraId="1711692C">
      <w:pPr>
        <w:keepNext w:val="0"/>
        <w:keepLines w:val="0"/>
        <w:pageBreakBefore w:val="0"/>
        <w:widowControl w:val="0"/>
        <w:kinsoku/>
        <w:wordWrap/>
        <w:overflowPunct/>
        <w:topLinePunct w:val="0"/>
        <w:bidi w:val="0"/>
        <w:spacing w:line="580" w:lineRule="exact"/>
        <w:ind w:left="14" w:right="2" w:firstLine="634"/>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第十四条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市重点实验室人员由固定人员和流动人员组成，固定人员包括研究人员、技术人员和管理人员，流动人员包括柔性引进人员、博士后研究人员等。</w:t>
      </w:r>
    </w:p>
    <w:p w14:paraId="36BA23ED">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市重点实验室可设立科研助理岗位，协助处理日常运行管理和对外联络等相关事宜。</w:t>
      </w:r>
    </w:p>
    <w:p w14:paraId="3A49D4A8">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第十五条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市重点实验室按研究方向和研究内容设置研究单元，保持人员结构和规模合理，并适当流动。</w:t>
      </w:r>
    </w:p>
    <w:p w14:paraId="67113FBE">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市重点实验室应注重学术梯队和优秀中青年队伍建设，加强研究生培养，制定吸引、培养高水平人才的激励政策，形成一支高水平的研究队伍。</w:t>
      </w:r>
    </w:p>
    <w:p w14:paraId="497F0E1D">
      <w:pPr>
        <w:pStyle w:val="3"/>
        <w:keepNext w:val="0"/>
        <w:keepLines w:val="0"/>
        <w:pageBreakBefore w:val="0"/>
        <w:widowControl w:val="0"/>
        <w:kinsoku/>
        <w:wordWrap/>
        <w:overflowPunct/>
        <w:topLinePunct w:val="0"/>
        <w:bidi w:val="0"/>
        <w:spacing w:line="580" w:lineRule="exact"/>
        <w:ind w:firstLine="640" w:firstLineChars="200"/>
        <w:jc w:val="both"/>
        <w:rPr>
          <w:rFonts w:hint="eastAsia" w:ascii="仿宋_GB2312" w:hAnsi="仿宋_GB2312" w:eastAsia="仿宋_GB2312" w:cs="仿宋_GB2312"/>
          <w:snapToGrid w:val="0"/>
          <w:color w:val="000000" w:themeColor="text1"/>
          <w:spacing w:val="0"/>
          <w:position w:val="0"/>
          <w:sz w:val="32"/>
          <w:szCs w:val="32"/>
          <w:lang w:val="en-US" w:eastAsia="zh-CN" w:bidi="ar-SA"/>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第十六条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snapToGrid w:val="0"/>
          <w:color w:val="000000" w:themeColor="text1"/>
          <w:spacing w:val="0"/>
          <w:position w:val="0"/>
          <w:sz w:val="32"/>
          <w:szCs w:val="32"/>
          <w:lang w:val="en-US" w:eastAsia="zh-CN" w:bidi="ar-SA"/>
          <w14:textFill>
            <w14:solidFill>
              <w14:schemeClr w14:val="tx1"/>
            </w14:solidFill>
          </w14:textFill>
        </w:rPr>
        <w:t>市重点实验室应围绕研究方向和目标任务设立自主研究课题，组织团队开展持续深入的系统性研究，鼓励实验技术方法的创新研究。</w:t>
      </w:r>
    </w:p>
    <w:p w14:paraId="6A643CB1">
      <w:pPr>
        <w:keepNext w:val="0"/>
        <w:keepLines w:val="0"/>
        <w:pageBreakBefore w:val="0"/>
        <w:widowControl w:val="0"/>
        <w:kinsoku/>
        <w:wordWrap/>
        <w:overflowPunct/>
        <w:topLinePunct w:val="0"/>
        <w:bidi w:val="0"/>
        <w:spacing w:line="580" w:lineRule="exact"/>
        <w:ind w:left="14" w:firstLine="640"/>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第十七条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市重点实验室应建设成为本领域公共研究平台，加大开放力度。</w:t>
      </w:r>
    </w:p>
    <w:p w14:paraId="7121C645">
      <w:pPr>
        <w:keepNext w:val="0"/>
        <w:keepLines w:val="0"/>
        <w:pageBreakBefore w:val="0"/>
        <w:widowControl w:val="0"/>
        <w:kinsoku/>
        <w:wordWrap/>
        <w:overflowPunct/>
        <w:topLinePunct w:val="0"/>
        <w:bidi w:val="0"/>
        <w:spacing w:line="580" w:lineRule="exact"/>
        <w:ind w:left="23" w:right="1" w:firstLine="632"/>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第十八条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6"/>
          <w:position w:val="0"/>
          <w:sz w:val="32"/>
          <w:szCs w:val="32"/>
          <w:lang w:eastAsia="zh-CN"/>
          <w14:textFill>
            <w14:solidFill>
              <w14:schemeClr w14:val="tx1"/>
            </w14:solidFill>
          </w14:textFill>
        </w:rPr>
        <w:t>市重点实验室应结合自身特色，本着平等互利的原则，积极开展多种形式的产学研合作，推动科技成果转</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化。</w:t>
      </w:r>
    </w:p>
    <w:p w14:paraId="78B0E10B">
      <w:pPr>
        <w:keepNext w:val="0"/>
        <w:keepLines w:val="0"/>
        <w:pageBreakBefore w:val="0"/>
        <w:widowControl w:val="0"/>
        <w:kinsoku/>
        <w:wordWrap/>
        <w:overflowPunct/>
        <w:topLinePunct w:val="0"/>
        <w:bidi w:val="0"/>
        <w:spacing w:line="580" w:lineRule="exact"/>
        <w:ind w:left="6" w:right="2" w:firstLine="649"/>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第十九条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市重点实验室应按国家、省有关规定制定科研基础设施和大型科研仪器设备的管理制度，强化开放共享，保障科研基础设施及大型科研仪器设备的高效运转。</w:t>
      </w:r>
    </w:p>
    <w:p w14:paraId="58836951">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市重点实验室建设经费主要由依托单位自筹，鼓励主管部门提供资助经费。</w:t>
      </w:r>
    </w:p>
    <w:p w14:paraId="7987103C">
      <w:pPr>
        <w:keepNext w:val="0"/>
        <w:keepLines w:val="0"/>
        <w:pageBreakBefore w:val="0"/>
        <w:widowControl w:val="0"/>
        <w:kinsoku/>
        <w:wordWrap/>
        <w:overflowPunct/>
        <w:topLinePunct w:val="0"/>
        <w:bidi w:val="0"/>
        <w:spacing w:line="580" w:lineRule="exact"/>
        <w:ind w:left="12" w:firstLine="635"/>
        <w:jc w:val="both"/>
        <w:rPr>
          <w:rFonts w:ascii="仿宋" w:hAnsi="仿宋" w:eastAsia="仿宋" w:cs="仿宋"/>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当建立健全纵向科研项目经费管理制度，经费单独核算，专款专用；多方共建的市重点实验室，牵头方和共建方共同享有按规定获得的新认定补助和绩效评价后的项目经费补助，协商确定分配原则。财政经费管理与使用按国家、省和市有关规定执行。鼓励探索多元化投入机制，以产学研合作或共建的方式吸引社会资本支持市重点实验室发展。</w:t>
      </w:r>
    </w:p>
    <w:p w14:paraId="2865E789">
      <w:pPr>
        <w:keepNext w:val="0"/>
        <w:keepLines w:val="0"/>
        <w:pageBreakBefore w:val="0"/>
        <w:widowControl w:val="0"/>
        <w:kinsoku/>
        <w:wordWrap/>
        <w:overflowPunct/>
        <w:topLinePunct w:val="0"/>
        <w:bidi w:val="0"/>
        <w:spacing w:line="580" w:lineRule="exact"/>
        <w:ind w:left="16" w:right="2" w:firstLine="639"/>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第二十一条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市重点实验室应加强知识产权保护。市重点实验室完成的专著、论文、软件、数据库等研究成果均应标注市重点实验室名称，专利申请、技术成果转让、奖励申报按国家有关规定进行。</w:t>
      </w:r>
    </w:p>
    <w:p w14:paraId="7B7915AA">
      <w:pPr>
        <w:keepNext w:val="0"/>
        <w:keepLines w:val="0"/>
        <w:pageBreakBefore w:val="0"/>
        <w:widowControl w:val="0"/>
        <w:kinsoku/>
        <w:wordWrap/>
        <w:overflowPunct/>
        <w:topLinePunct w:val="0"/>
        <w:bidi w:val="0"/>
        <w:spacing w:line="580" w:lineRule="exact"/>
        <w:ind w:right="15" w:firstLine="640" w:firstLineChars="200"/>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第二十二条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市重点实验室应建立健全内部规章管理制度，制订人员管理、科研项目、仪器设备、经费使用、知识产权、安全、保密等方面的制度。</w:t>
      </w:r>
    </w:p>
    <w:p w14:paraId="47BE3C5A">
      <w:pPr>
        <w:keepNext w:val="0"/>
        <w:keepLines w:val="0"/>
        <w:pageBreakBefore w:val="0"/>
        <w:widowControl w:val="0"/>
        <w:kinsoku/>
        <w:wordWrap/>
        <w:overflowPunct/>
        <w:topLinePunct w:val="0"/>
        <w:bidi w:val="0"/>
        <w:spacing w:line="580" w:lineRule="exact"/>
        <w:ind w:left="12" w:firstLine="635"/>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第二十三条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因</w:t>
      </w:r>
      <w:r>
        <w:rPr>
          <w:rFonts w:hint="eastAsia" w:ascii="仿宋_GB2312" w:hAnsi="仿宋_GB2312" w:eastAsia="仿宋_GB2312" w:cs="仿宋_GB2312"/>
          <w:color w:val="000000" w:themeColor="text1"/>
          <w:spacing w:val="-6"/>
          <w:position w:val="0"/>
          <w:sz w:val="32"/>
          <w:szCs w:val="32"/>
          <w:lang w:eastAsia="zh-CN"/>
          <w14:textFill>
            <w14:solidFill>
              <w14:schemeClr w14:val="tx1"/>
            </w14:solidFill>
          </w14:textFill>
        </w:rPr>
        <w:t>故需变更实验室名称、实验室主任、建设任务书、研究方向、实验室人员、场地或对实验室进行调整、重组、整合的，由依托单位报其主管部门审核后报市科技局审</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批。</w:t>
      </w:r>
    </w:p>
    <w:p w14:paraId="4AFF45C1">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第五章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考核评估</w:t>
      </w:r>
    </w:p>
    <w:p w14:paraId="5EAEA8CC">
      <w:pPr>
        <w:keepNext w:val="0"/>
        <w:keepLines w:val="0"/>
        <w:pageBreakBefore w:val="0"/>
        <w:widowControl w:val="0"/>
        <w:kinsoku/>
        <w:wordWrap/>
        <w:overflowPunct/>
        <w:topLinePunct w:val="0"/>
        <w:bidi w:val="0"/>
        <w:spacing w:line="580" w:lineRule="exact"/>
        <w:ind w:left="13" w:right="94" w:firstLine="634"/>
        <w:jc w:val="both"/>
        <w:outlineLvl w:val="0"/>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第二十四条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t>实行年度评价和定期评估相结合的考核机制。对研究水平与贡献、队伍建设与人才培养、成果转化与产业化贡献、对外开放与学术交流、环境建设与运行管理等方面进行考核。</w:t>
      </w:r>
    </w:p>
    <w:p w14:paraId="449C6DE3">
      <w:pPr>
        <w:keepNext w:val="0"/>
        <w:keepLines w:val="0"/>
        <w:pageBreakBefore w:val="0"/>
        <w:widowControl w:val="0"/>
        <w:kinsoku/>
        <w:wordWrap/>
        <w:overflowPunct/>
        <w:topLinePunct w:val="0"/>
        <w:bidi w:val="0"/>
        <w:spacing w:line="580" w:lineRule="exact"/>
        <w:ind w:right="96" w:firstLine="479"/>
        <w:jc w:val="both"/>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t>（一）年度评价。市重点实验室应于每年2月底前将上一自然年取得的有关业绩及证明材料提交市科技局，市科技局按照评价体系进行评价。对上一年度评价结果为“优秀”和“较好”类的市重点实验室，给予创新资源倾斜支持。对“不合格”类的市重点实验室，向依托单位发出警示函。</w:t>
      </w:r>
    </w:p>
    <w:p w14:paraId="0EB31F7F">
      <w:pPr>
        <w:keepNext w:val="0"/>
        <w:keepLines w:val="0"/>
        <w:pageBreakBefore w:val="0"/>
        <w:widowControl w:val="0"/>
        <w:kinsoku/>
        <w:wordWrap/>
        <w:overflowPunct/>
        <w:topLinePunct w:val="0"/>
        <w:bidi w:val="0"/>
        <w:spacing w:line="580" w:lineRule="exact"/>
        <w:ind w:left="11" w:right="96" w:firstLine="468"/>
        <w:jc w:val="both"/>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b w:val="0"/>
          <w:bCs w:val="0"/>
          <w:color w:val="000000" w:themeColor="text1"/>
          <w:spacing w:val="0"/>
          <w:position w:val="0"/>
          <w:sz w:val="32"/>
          <w:szCs w:val="32"/>
          <w:lang w:eastAsia="zh-CN"/>
          <w14:textFill>
            <w14:solidFill>
              <w14:schemeClr w14:val="tx1"/>
            </w14:solidFill>
          </w14:textFill>
        </w:rPr>
        <w:t>（二）定期评估。以每3年为一个周期，市科技局根据连续3年的年度评价情况，组织专家对3年中有1次获评“不合格”类的市重点实验室进行重新评估。对于评估不通过的，限期1年整改，对整改后仍不合格的，撤销市重点实验室资格。</w:t>
      </w:r>
    </w:p>
    <w:p w14:paraId="343EE0CE">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第六章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监督与诚信</w:t>
      </w:r>
    </w:p>
    <w:p w14:paraId="4FB935A2">
      <w:pPr>
        <w:pStyle w:val="3"/>
        <w:keepNext w:val="0"/>
        <w:keepLines w:val="0"/>
        <w:pageBreakBefore w:val="0"/>
        <w:widowControl w:val="0"/>
        <w:kinsoku/>
        <w:wordWrap/>
        <w:overflowPunct/>
        <w:topLinePunct w:val="0"/>
        <w:bidi w:val="0"/>
        <w:spacing w:line="580" w:lineRule="exact"/>
        <w:ind w:firstLine="640" w:firstLineChars="200"/>
        <w:jc w:val="both"/>
        <w:rPr>
          <w:rFonts w:hint="eastAsia" w:ascii="仿宋_GB2312" w:hAnsi="仿宋_GB2312" w:eastAsia="仿宋_GB2312" w:cs="仿宋_GB2312"/>
          <w:snapToGrid w:val="0"/>
          <w:color w:val="000000" w:themeColor="text1"/>
          <w:spacing w:val="0"/>
          <w:position w:val="0"/>
          <w:sz w:val="32"/>
          <w:szCs w:val="32"/>
          <w:lang w:val="en-US" w:eastAsia="zh-CN" w:bidi="ar-SA"/>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第二十五条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snapToGrid w:val="0"/>
          <w:color w:val="000000" w:themeColor="text1"/>
          <w:spacing w:val="0"/>
          <w:position w:val="0"/>
          <w:sz w:val="32"/>
          <w:szCs w:val="32"/>
          <w:lang w:val="en-US" w:eastAsia="zh-CN" w:bidi="ar-SA"/>
          <w14:textFill>
            <w14:solidFill>
              <w14:schemeClr w14:val="tx1"/>
            </w14:solidFill>
          </w14:textFill>
        </w:rPr>
        <w:t>市重点实验室应承担科技安全主体责任，加强科研诚信建设，健全科研诚信和科技伦理管理制度，多形式开展科研诚信和科技伦理建设活动，大力弘扬科学精神，开展科学技术普及，营造良好科研氛围，防范科研失信行为和科技伦理风险。</w:t>
      </w:r>
    </w:p>
    <w:p w14:paraId="26BC86ED">
      <w:pPr>
        <w:keepNext w:val="0"/>
        <w:keepLines w:val="0"/>
        <w:pageBreakBefore w:val="0"/>
        <w:widowControl w:val="0"/>
        <w:kinsoku/>
        <w:wordWrap/>
        <w:overflowPunct/>
        <w:topLinePunct w:val="0"/>
        <w:bidi w:val="0"/>
        <w:spacing w:line="580" w:lineRule="exact"/>
        <w:ind w:firstLine="640" w:firstLineChars="200"/>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第二十六条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市重点实验室有下列情形之一的，撤销资格：</w:t>
      </w:r>
    </w:p>
    <w:p w14:paraId="1AE88EAF">
      <w:pPr>
        <w:keepNext w:val="0"/>
        <w:keepLines w:val="0"/>
        <w:pageBreakBefore w:val="0"/>
        <w:widowControl w:val="0"/>
        <w:kinsoku/>
        <w:wordWrap/>
        <w:overflowPunct/>
        <w:topLinePunct w:val="0"/>
        <w:bidi w:val="0"/>
        <w:spacing w:line="580" w:lineRule="exact"/>
        <w:ind w:left="24" w:right="241" w:firstLine="462"/>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（一）司法、行政机关认定存在重大违法行为，并被依法追究责任。</w:t>
      </w:r>
    </w:p>
    <w:p w14:paraId="68031622">
      <w:pPr>
        <w:keepNext w:val="0"/>
        <w:keepLines w:val="0"/>
        <w:pageBreakBefore w:val="0"/>
        <w:widowControl w:val="0"/>
        <w:kinsoku/>
        <w:wordWrap/>
        <w:overflowPunct/>
        <w:topLinePunct w:val="0"/>
        <w:bidi w:val="0"/>
        <w:spacing w:line="580" w:lineRule="exact"/>
        <w:ind w:left="48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（二）存在学术造假、抄袭等严重科研违规、科研失信行为。</w:t>
      </w:r>
    </w:p>
    <w:p w14:paraId="313A5F95">
      <w:pPr>
        <w:keepNext w:val="0"/>
        <w:keepLines w:val="0"/>
        <w:pageBreakBefore w:val="0"/>
        <w:widowControl w:val="0"/>
        <w:kinsoku/>
        <w:wordWrap/>
        <w:overflowPunct/>
        <w:topLinePunct w:val="0"/>
        <w:bidi w:val="0"/>
        <w:spacing w:line="580" w:lineRule="exact"/>
        <w:ind w:left="24" w:firstLine="462"/>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（三）擅自开展或组织开展未经伦理审查许可的科学技术活动，并造成严重不良影响。</w:t>
      </w:r>
    </w:p>
    <w:p w14:paraId="152A226D">
      <w:pPr>
        <w:keepNext w:val="0"/>
        <w:keepLines w:val="0"/>
        <w:pageBreakBefore w:val="0"/>
        <w:widowControl w:val="0"/>
        <w:kinsoku/>
        <w:wordWrap/>
        <w:overflowPunct/>
        <w:topLinePunct w:val="0"/>
        <w:bidi w:val="0"/>
        <w:spacing w:line="580" w:lineRule="exact"/>
        <w:ind w:left="48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（四）发生严重失泄密事件。</w:t>
      </w:r>
    </w:p>
    <w:p w14:paraId="02C670DE">
      <w:pPr>
        <w:keepNext w:val="0"/>
        <w:keepLines w:val="0"/>
        <w:pageBreakBefore w:val="0"/>
        <w:widowControl w:val="0"/>
        <w:kinsoku/>
        <w:wordWrap/>
        <w:overflowPunct/>
        <w:topLinePunct w:val="0"/>
        <w:bidi w:val="0"/>
        <w:spacing w:line="580" w:lineRule="exact"/>
        <w:ind w:left="14" w:right="241" w:firstLine="472"/>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（五）不按要求填报市重点实验室信息数据、无正当理由不参加考核评估、中途退出考核评估，或考核评估中有弄虚作假等行为。</w:t>
      </w:r>
    </w:p>
    <w:p w14:paraId="0B72F9FB">
      <w:pPr>
        <w:keepNext w:val="0"/>
        <w:keepLines w:val="0"/>
        <w:pageBreakBefore w:val="0"/>
        <w:widowControl w:val="0"/>
        <w:kinsoku/>
        <w:wordWrap/>
        <w:overflowPunct/>
        <w:topLinePunct w:val="0"/>
        <w:bidi w:val="0"/>
        <w:spacing w:line="580" w:lineRule="exact"/>
        <w:ind w:left="48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（六）评估不通过且限期整改后仍不合格。</w:t>
      </w:r>
    </w:p>
    <w:p w14:paraId="167C9A32">
      <w:pPr>
        <w:keepNext w:val="0"/>
        <w:keepLines w:val="0"/>
        <w:pageBreakBefore w:val="0"/>
        <w:widowControl w:val="0"/>
        <w:kinsoku/>
        <w:wordWrap/>
        <w:overflowPunct/>
        <w:topLinePunct w:val="0"/>
        <w:bidi w:val="0"/>
        <w:spacing w:line="580" w:lineRule="exact"/>
        <w:ind w:left="48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（七）依托单位被依法终止。</w:t>
      </w:r>
    </w:p>
    <w:p w14:paraId="05EDC336">
      <w:pPr>
        <w:keepNext w:val="0"/>
        <w:keepLines w:val="0"/>
        <w:pageBreakBefore w:val="0"/>
        <w:widowControl w:val="0"/>
        <w:kinsoku/>
        <w:wordWrap/>
        <w:overflowPunct/>
        <w:topLinePunct w:val="0"/>
        <w:bidi w:val="0"/>
        <w:spacing w:line="580" w:lineRule="exact"/>
        <w:ind w:left="48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（八）依托单位自行要求撤销。</w:t>
      </w:r>
    </w:p>
    <w:p w14:paraId="3C42AD7A">
      <w:pPr>
        <w:keepNext w:val="0"/>
        <w:keepLines w:val="0"/>
        <w:pageBreakBefore w:val="0"/>
        <w:widowControl w:val="0"/>
        <w:kinsoku/>
        <w:wordWrap/>
        <w:overflowPunct/>
        <w:topLinePunct w:val="0"/>
        <w:bidi w:val="0"/>
        <w:spacing w:line="580" w:lineRule="exact"/>
        <w:ind w:left="48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（九）其他依法应予以撤销的情形。</w:t>
      </w:r>
    </w:p>
    <w:p w14:paraId="3E6CE81B">
      <w:pPr>
        <w:keepNext w:val="0"/>
        <w:keepLines w:val="0"/>
        <w:pageBreakBefore w:val="0"/>
        <w:widowControl w:val="0"/>
        <w:kinsoku/>
        <w:wordWrap/>
        <w:overflowPunct/>
        <w:topLinePunct w:val="0"/>
        <w:bidi w:val="0"/>
        <w:spacing w:line="580" w:lineRule="exact"/>
        <w:ind w:left="42" w:right="241" w:firstLine="607"/>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被撤销市重点实验室资格的依托单位两年内不得新申报市重点实验室。</w:t>
      </w:r>
    </w:p>
    <w:p w14:paraId="173480D0">
      <w:pPr>
        <w:keepNext w:val="0"/>
        <w:keepLines w:val="0"/>
        <w:pageBreakBefore w:val="0"/>
        <w:widowControl w:val="0"/>
        <w:kinsoku/>
        <w:wordWrap/>
        <w:overflowPunct/>
        <w:topLinePunct w:val="0"/>
        <w:bidi w:val="0"/>
        <w:spacing w:line="580" w:lineRule="exact"/>
        <w:jc w:val="center"/>
        <w:rPr>
          <w:rFonts w:ascii="黑体" w:hAnsi="黑体" w:eastAsia="黑体" w:cs="黑体"/>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第七章</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附</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ascii="黑体" w:hAnsi="黑体" w:eastAsia="黑体" w:cs="黑体"/>
          <w:color w:val="000000" w:themeColor="text1"/>
          <w:spacing w:val="0"/>
          <w:position w:val="0"/>
          <w:sz w:val="32"/>
          <w:szCs w:val="32"/>
          <w:lang w:eastAsia="zh-CN"/>
          <w14:textFill>
            <w14:solidFill>
              <w14:schemeClr w14:val="tx1"/>
            </w14:solidFill>
          </w14:textFill>
        </w:rPr>
        <w:t>则</w:t>
      </w:r>
    </w:p>
    <w:p w14:paraId="3710270E">
      <w:pPr>
        <w:keepNext w:val="0"/>
        <w:keepLines w:val="0"/>
        <w:pageBreakBefore w:val="0"/>
        <w:widowControl w:val="0"/>
        <w:kinsoku/>
        <w:wordWrap/>
        <w:overflowPunct/>
        <w:topLinePunct w:val="0"/>
        <w:bidi w:val="0"/>
        <w:spacing w:line="580" w:lineRule="exact"/>
        <w:ind w:left="639"/>
        <w:jc w:val="both"/>
        <w:outlineLvl w:val="0"/>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w:t>
      </w:r>
      <w:r>
        <w:rPr>
          <w:rFonts w:hint="eastAsia" w:ascii="黑体" w:hAnsi="黑体" w:eastAsia="黑体" w:cs="黑体"/>
          <w:color w:val="000000" w:themeColor="text1"/>
          <w:spacing w:val="0"/>
          <w:position w:val="0"/>
          <w:sz w:val="32"/>
          <w:szCs w:val="32"/>
          <w:lang w:eastAsia="zh-CN"/>
          <w14:textFill>
            <w14:solidFill>
              <w14:schemeClr w14:val="tx1"/>
            </w14:solidFill>
          </w14:textFill>
        </w:rPr>
        <w:t>七</w:t>
      </w:r>
      <w:r>
        <w:rPr>
          <w:rFonts w:ascii="黑体" w:hAnsi="黑体" w:eastAsia="黑体" w:cs="黑体"/>
          <w:color w:val="000000" w:themeColor="text1"/>
          <w:spacing w:val="0"/>
          <w:position w:val="0"/>
          <w:sz w:val="32"/>
          <w:szCs w:val="32"/>
          <w:lang w:eastAsia="zh-CN"/>
          <w14:textFill>
            <w14:solidFill>
              <w14:schemeClr w14:val="tx1"/>
            </w14:solidFill>
          </w14:textFill>
        </w:rPr>
        <w:t>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本办法由吉安市科技局负责解释。</w:t>
      </w:r>
    </w:p>
    <w:p w14:paraId="5F5316ED">
      <w:pPr>
        <w:keepNext w:val="0"/>
        <w:keepLines w:val="0"/>
        <w:pageBreakBefore w:val="0"/>
        <w:widowControl w:val="0"/>
        <w:suppressLineNumbers w:val="0"/>
        <w:kinsoku/>
        <w:wordWrap/>
        <w:overflowPunct/>
        <w:topLinePunct w:val="0"/>
        <w:bidi w:val="0"/>
        <w:spacing w:line="580" w:lineRule="exact"/>
        <w:ind w:firstLine="640" w:firstLineChars="200"/>
        <w:jc w:val="both"/>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pPr>
      <w:r>
        <w:rPr>
          <w:rFonts w:ascii="黑体" w:hAnsi="黑体" w:eastAsia="黑体" w:cs="黑体"/>
          <w:color w:val="000000" w:themeColor="text1"/>
          <w:spacing w:val="0"/>
          <w:position w:val="0"/>
          <w:sz w:val="32"/>
          <w:szCs w:val="32"/>
          <w:lang w:eastAsia="zh-CN"/>
          <w14:textFill>
            <w14:solidFill>
              <w14:schemeClr w14:val="tx1"/>
            </w14:solidFill>
          </w14:textFill>
        </w:rPr>
        <w:t>第二十</w:t>
      </w:r>
      <w:r>
        <w:rPr>
          <w:rFonts w:hint="eastAsia" w:ascii="黑体" w:hAnsi="黑体" w:eastAsia="黑体" w:cs="黑体"/>
          <w:color w:val="000000" w:themeColor="text1"/>
          <w:spacing w:val="0"/>
          <w:position w:val="0"/>
          <w:sz w:val="32"/>
          <w:szCs w:val="32"/>
          <w:lang w:eastAsia="zh-CN"/>
          <w14:textFill>
            <w14:solidFill>
              <w14:schemeClr w14:val="tx1"/>
            </w14:solidFill>
          </w14:textFill>
        </w:rPr>
        <w:t>八</w:t>
      </w:r>
      <w:r>
        <w:rPr>
          <w:rFonts w:ascii="黑体" w:hAnsi="黑体" w:eastAsia="黑体" w:cs="黑体"/>
          <w:color w:val="000000" w:themeColor="text1"/>
          <w:spacing w:val="0"/>
          <w:position w:val="0"/>
          <w:sz w:val="32"/>
          <w:szCs w:val="32"/>
          <w:lang w:eastAsia="zh-CN"/>
          <w14:textFill>
            <w14:solidFill>
              <w14:schemeClr w14:val="tx1"/>
            </w14:solidFill>
          </w14:textFill>
        </w:rPr>
        <w:t>条</w:t>
      </w:r>
      <w:r>
        <w:rPr>
          <w:rFonts w:hint="eastAsia" w:ascii="黑体" w:hAnsi="黑体" w:eastAsia="黑体" w:cs="黑体"/>
          <w:color w:val="000000" w:themeColor="text1"/>
          <w:spacing w:val="0"/>
          <w:positio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本办法自发布之日起施行，《吉安市重点实验室管理办法》（</w:t>
      </w:r>
      <w:r>
        <w:rPr>
          <w:rFonts w:hint="eastAsia" w:ascii="仿宋_GB2312" w:hAnsi="仿宋_GB2312" w:eastAsia="仿宋_GB2312" w:cs="仿宋_GB2312"/>
          <w:color w:val="000000" w:themeColor="text1"/>
          <w:spacing w:val="0"/>
          <w:position w:val="0"/>
          <w:sz w:val="32"/>
          <w:szCs w:val="32"/>
          <w:lang w:val="en-US" w:eastAsia="zh-CN"/>
          <w14:textFill>
            <w14:solidFill>
              <w14:schemeClr w14:val="tx1"/>
            </w14:solidFill>
          </w14:textFill>
        </w:rPr>
        <w:t>吉市科发〔2017〕3号</w:t>
      </w:r>
      <w:r>
        <w:rPr>
          <w:rFonts w:hint="eastAsia" w:ascii="仿宋_GB2312" w:hAnsi="仿宋_GB2312" w:eastAsia="仿宋_GB2312" w:cs="仿宋_GB2312"/>
          <w:color w:val="000000" w:themeColor="text1"/>
          <w:spacing w:val="0"/>
          <w:position w:val="0"/>
          <w:sz w:val="32"/>
          <w:szCs w:val="32"/>
          <w:lang w:eastAsia="zh-CN"/>
          <w14:textFill>
            <w14:solidFill>
              <w14:schemeClr w14:val="tx1"/>
            </w14:solidFill>
          </w14:textFill>
        </w:rPr>
        <w:t>）同时废止。</w:t>
      </w:r>
    </w:p>
    <w:p w14:paraId="0D551AAE">
      <w:pPr>
        <w:keepNext w:val="0"/>
        <w:keepLines w:val="0"/>
        <w:pageBreakBefore w:val="0"/>
        <w:widowControl w:val="0"/>
        <w:kinsoku/>
        <w:wordWrap/>
        <w:overflowPunct/>
        <w:topLinePunct w:val="0"/>
        <w:bidi w:val="0"/>
        <w:spacing w:line="580" w:lineRule="exact"/>
        <w:jc w:val="both"/>
        <w:rPr>
          <w:rFonts w:ascii="仿宋" w:hAnsi="仿宋" w:eastAsia="仿宋" w:cs="仿宋"/>
          <w:color w:val="000000" w:themeColor="text1"/>
          <w:spacing w:val="0"/>
          <w:position w:val="0"/>
          <w:sz w:val="32"/>
          <w:szCs w:val="32"/>
          <w:lang w:eastAsia="zh-CN"/>
          <w14:textFill>
            <w14:solidFill>
              <w14:schemeClr w14:val="tx1"/>
            </w14:solidFill>
          </w14:textFill>
        </w:rPr>
      </w:pPr>
    </w:p>
    <w:p w14:paraId="3489421D">
      <w:pPr>
        <w:pStyle w:val="3"/>
        <w:keepNext w:val="0"/>
        <w:keepLines w:val="0"/>
        <w:pageBreakBefore w:val="0"/>
        <w:widowControl w:val="0"/>
        <w:kinsoku/>
        <w:wordWrap/>
        <w:overflowPunct/>
        <w:topLinePunct w:val="0"/>
        <w:bidi w:val="0"/>
        <w:spacing w:line="580" w:lineRule="exact"/>
        <w:jc w:val="both"/>
        <w:rPr>
          <w:rFonts w:ascii="仿宋" w:hAnsi="仿宋" w:eastAsia="仿宋" w:cs="仿宋"/>
          <w:color w:val="000000" w:themeColor="text1"/>
          <w:spacing w:val="0"/>
          <w:position w:val="0"/>
          <w:sz w:val="32"/>
          <w:szCs w:val="32"/>
          <w:lang w:eastAsia="zh-CN"/>
          <w14:textFill>
            <w14:solidFill>
              <w14:schemeClr w14:val="tx1"/>
            </w14:solidFill>
          </w14:textFill>
        </w:rPr>
      </w:pPr>
    </w:p>
    <w:p w14:paraId="7167F7CD">
      <w:pPr>
        <w:keepNext w:val="0"/>
        <w:keepLines w:val="0"/>
        <w:pageBreakBefore w:val="0"/>
        <w:widowControl w:val="0"/>
        <w:kinsoku/>
        <w:wordWrap/>
        <w:overflowPunct/>
        <w:topLinePunct w:val="0"/>
        <w:bidi w:val="0"/>
        <w:spacing w:line="580" w:lineRule="exact"/>
        <w:jc w:val="both"/>
        <w:rPr>
          <w:rFonts w:ascii="仿宋" w:hAnsi="仿宋" w:eastAsia="仿宋" w:cs="仿宋"/>
          <w:color w:val="000000" w:themeColor="text1"/>
          <w:spacing w:val="0"/>
          <w:position w:val="0"/>
          <w:sz w:val="32"/>
          <w:szCs w:val="32"/>
          <w:lang w:eastAsia="zh-CN"/>
          <w14:textFill>
            <w14:solidFill>
              <w14:schemeClr w14:val="tx1"/>
            </w14:solidFill>
          </w14:textFill>
        </w:rPr>
      </w:pPr>
    </w:p>
    <w:p w14:paraId="6A667F46">
      <w:pPr>
        <w:keepNext w:val="0"/>
        <w:keepLines w:val="0"/>
        <w:pageBreakBefore w:val="0"/>
        <w:widowControl w:val="0"/>
        <w:kinsoku/>
        <w:wordWrap/>
        <w:overflowPunct/>
        <w:topLinePunct w:val="0"/>
        <w:bidi w:val="0"/>
        <w:spacing w:line="580" w:lineRule="exact"/>
        <w:ind w:firstLine="32"/>
        <w:jc w:val="both"/>
        <w:rPr>
          <w:color w:val="000000" w:themeColor="text1"/>
          <w:spacing w:val="0"/>
          <w:position w:val="0"/>
          <w:sz w:val="32"/>
          <w:szCs w:val="32"/>
          <w14:textFill>
            <w14:solidFill>
              <w14:schemeClr w14:val="tx1"/>
            </w14:solidFill>
          </w14:textFill>
        </w:rPr>
      </w:pPr>
    </w:p>
    <w:sectPr>
      <w:footerReference r:id="rId3" w:type="default"/>
      <w:pgSz w:w="11916" w:h="16848"/>
      <w:pgMar w:top="2098" w:right="1531" w:bottom="1701" w:left="1531" w:header="0" w:footer="1531"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2C6D055-9FF3-44E8-A5E8-FC00A9A9B96B}"/>
  </w:font>
  <w:font w:name="黑体">
    <w:panose1 w:val="02010609060101010101"/>
    <w:charset w:val="86"/>
    <w:family w:val="auto"/>
    <w:pitch w:val="default"/>
    <w:sig w:usb0="800002BF" w:usb1="38CF7CFA" w:usb2="00000016" w:usb3="00000000" w:csb0="00040001" w:csb1="00000000"/>
    <w:embedRegular r:id="rId2" w:fontKey="{C7360204-6B88-4D2D-8EC1-0A2B35D310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01CD5DEE-536D-4657-8165-96B58782368C}"/>
  </w:font>
  <w:font w:name="方正小标宋简体">
    <w:panose1 w:val="02010600010101010101"/>
    <w:charset w:val="86"/>
    <w:family w:val="auto"/>
    <w:pitch w:val="default"/>
    <w:sig w:usb0="00000001" w:usb1="080E0000" w:usb2="00000000" w:usb3="00000000" w:csb0="00040000" w:csb1="00000000"/>
    <w:embedRegular r:id="rId4" w:fontKey="{684AF2F3-913B-45E8-B430-816E02492F3A}"/>
  </w:font>
  <w:font w:name="方正黑体_GBK">
    <w:altName w:val="微软雅黑"/>
    <w:panose1 w:val="02000000000000000000"/>
    <w:charset w:val="86"/>
    <w:family w:val="auto"/>
    <w:pitch w:val="default"/>
    <w:sig w:usb0="00000000" w:usb1="00000000" w:usb2="00082016" w:usb3="00000000" w:csb0="00040001" w:csb1="00000000"/>
  </w:font>
  <w:font w:name="楷体_GB2312">
    <w:altName w:val="楷体"/>
    <w:panose1 w:val="02010609030101010101"/>
    <w:charset w:val="00"/>
    <w:family w:val="modern"/>
    <w:pitch w:val="default"/>
    <w:sig w:usb0="00000000" w:usb1="00000000" w:usb2="00000000" w:usb3="00000000" w:csb0="00040000" w:csb1="00000000"/>
    <w:embedRegular r:id="rId5" w:fontKey="{7DAB5039-17D3-40D9-ABE4-6EB1B9A6A9F7}"/>
  </w:font>
  <w:font w:name="方正楷体_GBK">
    <w:panose1 w:val="02000000000000000000"/>
    <w:charset w:val="86"/>
    <w:family w:val="auto"/>
    <w:pitch w:val="default"/>
    <w:sig w:usb0="800002BF" w:usb1="38CF7CFA" w:usb2="00000016" w:usb3="00000000" w:csb0="00040000" w:csb1="00000000"/>
  </w:font>
  <w:font w:name="仿宋">
    <w:panose1 w:val="02010609060101010101"/>
    <w:charset w:val="86"/>
    <w:family w:val="modern"/>
    <w:pitch w:val="default"/>
    <w:sig w:usb0="800002BF" w:usb1="38CF7CFA" w:usb2="00000016" w:usb3="00000000" w:csb0="00040001" w:csb1="00000000"/>
    <w:embedRegular r:id="rId6" w:fontKey="{7F4568CE-0325-4966-A680-3313A97B863A}"/>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B8DBC">
    <w:pPr>
      <w:spacing w:line="181" w:lineRule="auto"/>
      <w:rPr>
        <w:rFonts w:hint="eastAsia" w:ascii="Times New Roman" w:hAnsi="Times New Roman" w:eastAsia="宋体" w:cs="Times New Roman"/>
        <w:sz w:val="28"/>
        <w:szCs w:val="28"/>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6A4925">
                          <w:pPr>
                            <w:pStyle w:val="4"/>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36A4925">
                    <w:pPr>
                      <w:pStyle w:val="4"/>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2ODY4YzNkMjczNjdiNTVmNjM1NGRlN2QxZTA3ZTEifQ=="/>
  </w:docVars>
  <w:rsids>
    <w:rsidRoot w:val="004C62EE"/>
    <w:rsid w:val="004C62EE"/>
    <w:rsid w:val="00812B77"/>
    <w:rsid w:val="0086108A"/>
    <w:rsid w:val="008C5F6F"/>
    <w:rsid w:val="00CF1C2F"/>
    <w:rsid w:val="17B51C39"/>
    <w:rsid w:val="19143034"/>
    <w:rsid w:val="39619BDF"/>
    <w:rsid w:val="481D766A"/>
    <w:rsid w:val="529D057C"/>
    <w:rsid w:val="57FD51A3"/>
    <w:rsid w:val="705F3817"/>
    <w:rsid w:val="71E44E96"/>
    <w:rsid w:val="7D7FB557"/>
    <w:rsid w:val="7DB7EB61"/>
    <w:rsid w:val="7F5FC912"/>
    <w:rsid w:val="AB6F082D"/>
    <w:rsid w:val="CEE9259D"/>
    <w:rsid w:val="CFFD9E37"/>
    <w:rsid w:val="E0FF0DD9"/>
    <w:rsid w:val="F78F1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3">
    <w:name w:val="Body Text"/>
    <w:basedOn w:val="1"/>
    <w:next w:val="1"/>
    <w:semiHidden/>
    <w:qFormat/>
    <w:uiPriority w:val="0"/>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Body Text First Indent"/>
    <w:basedOn w:val="3"/>
    <w:qFormat/>
    <w:uiPriority w:val="0"/>
    <w:pPr>
      <w:ind w:firstLine="420" w:firstLineChars="100"/>
    </w:pPr>
    <w:rPr>
      <w:rFonts w:ascii="Times New Roman" w:hAnsi="Times New Roman" w:eastAsia="仿宋_GB2312" w:cs="Times New Roman"/>
      <w:sz w:val="28"/>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4666</Words>
  <Characters>4724</Characters>
  <Lines>32</Lines>
  <Paragraphs>9</Paragraphs>
  <TotalTime>15</TotalTime>
  <ScaleCrop>false</ScaleCrop>
  <LinksUpToDate>false</LinksUpToDate>
  <CharactersWithSpaces>4800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2025-09-16T02:43:00Z</dcterms:created>
  <dc:creator>(ﾉಥ朱ಥ)</dc:creator>
  <cp:lastModifiedBy>美人师兄</cp:lastModifiedBy>
  <cp:lastPrinted>2025-10-11T06:50:00Z</cp:lastPrinted>
  <dcterms:modified xsi:type="dcterms:W3CDTF">2025-11-03T09:09:44Z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2025-09-02T15:32:05Z</vt:filetime>
  </property>
  <property fmtid="{D5CDD505-2E9C-101B-9397-08002B2CF9AE}" pid="4" name="KSOTemplateDocerSaveRecord">
    <vt:lpwstr>eyJoZGlkIjoiMjRhYzkyNzgwZTE4YTRhYjQ3OWJkOGM4NzczMGY5NGEiLCJ1c2VySWQiOiI0ODcyMDMxMzcifQ==</vt:lpwstr>
  </property>
  <property fmtid="{D5CDD505-2E9C-101B-9397-08002B2CF9AE}" pid="5" name="KSOProductBuildVer">
    <vt:lpwstr>2052-12.1.0.23125</vt:lpwstr>
  </property>
  <property fmtid="{D5CDD505-2E9C-101B-9397-08002B2CF9AE}" pid="6" name="ICV">
    <vt:lpwstr>46C469E21EBE45B383821FF3B485D681_13</vt:lpwstr>
  </property>
</Properties>
</file>